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948" w:rsidRPr="00237948" w:rsidRDefault="00237948" w:rsidP="00237948">
      <w:pPr>
        <w:pStyle w:val="a3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237948">
        <w:rPr>
          <w:rFonts w:ascii="Times New Roman" w:hAnsi="Times New Roman" w:cs="Times New Roman"/>
          <w:sz w:val="23"/>
          <w:szCs w:val="23"/>
        </w:rPr>
        <w:t xml:space="preserve">Встав у амвона, необходимо убедиться, что </w:t>
      </w:r>
      <w:proofErr w:type="spellStart"/>
      <w:r w:rsidRPr="00237948">
        <w:rPr>
          <w:rFonts w:ascii="Times New Roman" w:hAnsi="Times New Roman" w:cs="Times New Roman"/>
          <w:sz w:val="23"/>
          <w:szCs w:val="23"/>
        </w:rPr>
        <w:t>лекционарий</w:t>
      </w:r>
      <w:proofErr w:type="spellEnd"/>
      <w:r w:rsidRPr="00237948">
        <w:rPr>
          <w:rFonts w:ascii="Times New Roman" w:hAnsi="Times New Roman" w:cs="Times New Roman"/>
          <w:sz w:val="23"/>
          <w:szCs w:val="23"/>
        </w:rPr>
        <w:t xml:space="preserve"> открыт на нужном месте, а микрофон (если он используется) включен и правильно установлен по высоте и по расстоянию от чтеца. Прежде чем начать чтение, необходимо позволить участникам литургии занять места в лавках и настроиться на внимательное слушание Слова Божьего, о чем будет свидетельствовать тишина. </w:t>
      </w:r>
      <w:proofErr w:type="gramStart"/>
      <w:r w:rsidRPr="00237948">
        <w:rPr>
          <w:rFonts w:ascii="Times New Roman" w:hAnsi="Times New Roman" w:cs="Times New Roman"/>
          <w:sz w:val="23"/>
          <w:szCs w:val="23"/>
        </w:rPr>
        <w:t xml:space="preserve">Затем важно установить со слушающими зрительный контакт, который поможет верующим сконцентрировать внимание на чтеце и тексте, который он будет возвещать. </w:t>
      </w:r>
      <w:proofErr w:type="gramEnd"/>
    </w:p>
    <w:p w:rsidR="00237948" w:rsidRPr="00237948" w:rsidRDefault="00237948" w:rsidP="00237948">
      <w:pPr>
        <w:jc w:val="both"/>
        <w:rPr>
          <w:rFonts w:ascii="Times New Roman" w:hAnsi="Times New Roman" w:cs="Times New Roman"/>
          <w:sz w:val="2"/>
          <w:szCs w:val="23"/>
        </w:rPr>
      </w:pPr>
    </w:p>
    <w:p w:rsidR="00237948" w:rsidRPr="00237948" w:rsidRDefault="00237948" w:rsidP="00237948">
      <w:pPr>
        <w:pStyle w:val="a3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237948">
        <w:rPr>
          <w:rFonts w:ascii="Times New Roman" w:hAnsi="Times New Roman" w:cs="Times New Roman"/>
          <w:sz w:val="23"/>
          <w:szCs w:val="23"/>
        </w:rPr>
        <w:t xml:space="preserve">Только тогда чтец произносит четко и спокойно название книги Священного Писания, фрагмент которой будет звучать. Никаких других комментариев или рубрик зачитывать не следует. После краткой паузы чтец приступает к провозглашению чтения – Слово жизни, с которым живой Бог обращается к живым людям, собравшимся </w:t>
      </w:r>
      <w:r w:rsidRPr="00237948">
        <w:rPr>
          <w:rFonts w:ascii="Times New Roman" w:hAnsi="Times New Roman" w:cs="Times New Roman"/>
          <w:i/>
          <w:sz w:val="23"/>
          <w:szCs w:val="23"/>
        </w:rPr>
        <w:t>здесь</w:t>
      </w:r>
      <w:r w:rsidRPr="00237948">
        <w:rPr>
          <w:rFonts w:ascii="Times New Roman" w:hAnsi="Times New Roman" w:cs="Times New Roman"/>
          <w:sz w:val="23"/>
          <w:szCs w:val="23"/>
        </w:rPr>
        <w:t xml:space="preserve"> и </w:t>
      </w:r>
      <w:r w:rsidRPr="00237948">
        <w:rPr>
          <w:rFonts w:ascii="Times New Roman" w:hAnsi="Times New Roman" w:cs="Times New Roman"/>
          <w:i/>
          <w:sz w:val="23"/>
          <w:szCs w:val="23"/>
        </w:rPr>
        <w:t>сейчас</w:t>
      </w:r>
      <w:r w:rsidRPr="00237948">
        <w:rPr>
          <w:rFonts w:ascii="Times New Roman" w:hAnsi="Times New Roman" w:cs="Times New Roman"/>
          <w:sz w:val="23"/>
          <w:szCs w:val="23"/>
        </w:rPr>
        <w:t xml:space="preserve">.  Чтение следует произносить достаточно громко, неторопливо, внятно и отчетливо, с умеренной выразительностью, соблюдая логические паузы и подчеркивая ключевые слова и фразы интонационно. При чтении следует избегать как монотонности, так и излишней экспрессивности, помня, что провозглашение Слова Божьего – это не выступление на сцене, а чтец – служитель, а не артист. </w:t>
      </w:r>
    </w:p>
    <w:p w:rsidR="00237948" w:rsidRPr="00237948" w:rsidRDefault="00237948" w:rsidP="00237948">
      <w:pPr>
        <w:jc w:val="both"/>
        <w:rPr>
          <w:rFonts w:ascii="Times New Roman" w:hAnsi="Times New Roman" w:cs="Times New Roman"/>
          <w:sz w:val="2"/>
          <w:szCs w:val="23"/>
        </w:rPr>
      </w:pPr>
    </w:p>
    <w:p w:rsidR="00237948" w:rsidRPr="00237948" w:rsidRDefault="00237948" w:rsidP="00237948">
      <w:pPr>
        <w:pStyle w:val="a3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237948">
        <w:rPr>
          <w:rFonts w:ascii="Times New Roman" w:hAnsi="Times New Roman" w:cs="Times New Roman"/>
          <w:sz w:val="23"/>
          <w:szCs w:val="23"/>
        </w:rPr>
        <w:t xml:space="preserve">По прочтении текста, сделав достаточно продолжительную паузу, чтец завершает свое служение возгласом: «Слово Божие», на что община, выражая благодарность Богу </w:t>
      </w:r>
      <w:proofErr w:type="gramStart"/>
      <w:r w:rsidRPr="00237948">
        <w:rPr>
          <w:rFonts w:ascii="Times New Roman" w:hAnsi="Times New Roman" w:cs="Times New Roman"/>
          <w:sz w:val="23"/>
          <w:szCs w:val="23"/>
        </w:rPr>
        <w:t>за</w:t>
      </w:r>
      <w:proofErr w:type="gramEnd"/>
      <w:r w:rsidRPr="00237948">
        <w:rPr>
          <w:rFonts w:ascii="Times New Roman" w:hAnsi="Times New Roman" w:cs="Times New Roman"/>
          <w:sz w:val="23"/>
          <w:szCs w:val="23"/>
        </w:rPr>
        <w:t xml:space="preserve"> услышанное, отвечает: «Благодарение Богу». Никаких других жестов (таких как, к примеру, поклон </w:t>
      </w:r>
      <w:proofErr w:type="gramStart"/>
      <w:r w:rsidRPr="00237948">
        <w:rPr>
          <w:rFonts w:ascii="Times New Roman" w:hAnsi="Times New Roman" w:cs="Times New Roman"/>
          <w:sz w:val="23"/>
          <w:szCs w:val="23"/>
        </w:rPr>
        <w:t>верным</w:t>
      </w:r>
      <w:proofErr w:type="gramEnd"/>
      <w:r w:rsidRPr="00237948">
        <w:rPr>
          <w:rFonts w:ascii="Times New Roman" w:hAnsi="Times New Roman" w:cs="Times New Roman"/>
          <w:sz w:val="23"/>
          <w:szCs w:val="23"/>
        </w:rPr>
        <w:t xml:space="preserve">, целование </w:t>
      </w:r>
      <w:proofErr w:type="spellStart"/>
      <w:r w:rsidRPr="00237948">
        <w:rPr>
          <w:rFonts w:ascii="Times New Roman" w:hAnsi="Times New Roman" w:cs="Times New Roman"/>
          <w:sz w:val="23"/>
          <w:szCs w:val="23"/>
        </w:rPr>
        <w:t>лекционария</w:t>
      </w:r>
      <w:proofErr w:type="spellEnd"/>
      <w:r w:rsidRPr="00237948">
        <w:rPr>
          <w:rFonts w:ascii="Times New Roman" w:hAnsi="Times New Roman" w:cs="Times New Roman"/>
          <w:sz w:val="23"/>
          <w:szCs w:val="23"/>
        </w:rPr>
        <w:t xml:space="preserve"> или его поднятие и показ литургическому собранию) чтец не совершает. Сойдя с амвона, следует почтить поклоном алтарь или предстоятеля, если литургию совершает епископ. Затем чтец возвращается на свое место, сохраняя порядок и гармонию литургии. </w:t>
      </w:r>
    </w:p>
    <w:p w:rsidR="00237948" w:rsidRPr="00237948" w:rsidRDefault="00237948" w:rsidP="00237948">
      <w:pPr>
        <w:tabs>
          <w:tab w:val="left" w:pos="284"/>
        </w:tabs>
        <w:jc w:val="both"/>
        <w:rPr>
          <w:rFonts w:ascii="Times New Roman" w:hAnsi="Times New Roman" w:cs="Times New Roman"/>
          <w:sz w:val="4"/>
          <w:szCs w:val="23"/>
        </w:rPr>
      </w:pPr>
    </w:p>
    <w:p w:rsidR="00237948" w:rsidRPr="00D6497E" w:rsidRDefault="00237948" w:rsidP="00237948">
      <w:pPr>
        <w:pStyle w:val="a3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237948">
        <w:rPr>
          <w:rFonts w:ascii="Times New Roman" w:hAnsi="Times New Roman" w:cs="Times New Roman"/>
          <w:sz w:val="23"/>
          <w:szCs w:val="23"/>
        </w:rPr>
        <w:t>Провозглашенное Слово должно звучать в сердце чтеца и побеждать его к свидетельству не только устами, но и примером с</w:t>
      </w:r>
      <w:r>
        <w:rPr>
          <w:rFonts w:ascii="Times New Roman" w:hAnsi="Times New Roman" w:cs="Times New Roman"/>
          <w:sz w:val="23"/>
          <w:szCs w:val="23"/>
        </w:rPr>
        <w:t>обственной благочестивой жизни.</w:t>
      </w:r>
    </w:p>
    <w:p w:rsidR="00D6497E" w:rsidRDefault="00D6497E" w:rsidP="00CD289B">
      <w:pPr>
        <w:rPr>
          <w:rFonts w:ascii="Times New Roman" w:hAnsi="Times New Roman" w:cs="Times New Roman"/>
          <w:b/>
          <w:color w:val="C00000"/>
          <w:sz w:val="28"/>
        </w:rPr>
      </w:pPr>
    </w:p>
    <w:p w:rsidR="00CD289B" w:rsidRPr="00D6497E" w:rsidRDefault="00CD289B" w:rsidP="00D6497E">
      <w:pPr>
        <w:jc w:val="center"/>
        <w:rPr>
          <w:rFonts w:ascii="Times New Roman" w:hAnsi="Times New Roman" w:cs="Times New Roman"/>
          <w:b/>
          <w:color w:val="C00000"/>
          <w:sz w:val="40"/>
        </w:rPr>
      </w:pPr>
      <w:r w:rsidRPr="00D6497E">
        <w:rPr>
          <w:rFonts w:ascii="Times New Roman" w:hAnsi="Times New Roman" w:cs="Times New Roman"/>
          <w:b/>
          <w:color w:val="C00000"/>
          <w:sz w:val="40"/>
        </w:rPr>
        <w:t>КРАТКОЕ НАСТАВЛЕНИЕ ЦЕРКОВНОМУ ЧТЕЦУ</w:t>
      </w:r>
    </w:p>
    <w:p w:rsidR="00CD289B" w:rsidRDefault="00CD289B" w:rsidP="00CD289B">
      <w:pPr>
        <w:rPr>
          <w:rFonts w:ascii="Times New Roman" w:hAnsi="Times New Roman" w:cs="Times New Roman"/>
          <w:sz w:val="24"/>
        </w:rPr>
      </w:pPr>
    </w:p>
    <w:p w:rsidR="00237948" w:rsidRDefault="00D6497E" w:rsidP="00CD289B">
      <w:pPr>
        <w:rPr>
          <w:rFonts w:ascii="Times New Roman" w:hAnsi="Times New Roman" w:cs="Times New Roman"/>
          <w:sz w:val="24"/>
        </w:rPr>
      </w:pPr>
      <w:r>
        <w:rPr>
          <w:b/>
          <w:noProof/>
          <w:sz w:val="36"/>
          <w:lang w:eastAsia="ru-RU"/>
        </w:rPr>
        <w:drawing>
          <wp:anchor distT="0" distB="0" distL="114300" distR="114300" simplePos="0" relativeHeight="251659264" behindDoc="1" locked="0" layoutInCell="1" allowOverlap="1" wp14:anchorId="6957B1B5" wp14:editId="644957F9">
            <wp:simplePos x="0" y="0"/>
            <wp:positionH relativeFrom="column">
              <wp:posOffset>812800</wp:posOffset>
            </wp:positionH>
            <wp:positionV relativeFrom="paragraph">
              <wp:posOffset>186690</wp:posOffset>
            </wp:positionV>
            <wp:extent cx="2867025" cy="2867025"/>
            <wp:effectExtent l="0" t="0" r="9525" b="9525"/>
            <wp:wrapNone/>
            <wp:docPr id="1" name="Obraz 1" descr="C:\Users\user\Desktop\f4Xdyzs2KX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f4Xdyzs2KX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0" r="100000">
                                  <a14:foregroundMark x1="8278" y1="29801" x2="4801" y2="46523"/>
                                  <a14:foregroundMark x1="3808" y1="45364" x2="4470" y2="66060"/>
                                  <a14:foregroundMark x1="3974" y1="63411" x2="17715" y2="82616"/>
                                  <a14:foregroundMark x1="75000" y1="81291" x2="74669" y2="89238"/>
                                  <a14:foregroundMark x1="93212" y1="70199" x2="80629" y2="85927"/>
                                  <a14:foregroundMark x1="95033" y1="59106" x2="94205" y2="70530"/>
                                  <a14:foregroundMark x1="70695" y1="85596" x2="59768" y2="94868"/>
                                  <a14:foregroundMark x1="75993" y1="14073" x2="88079" y2="22351"/>
                                  <a14:foregroundMark x1="30464" y1="6954" x2="61921" y2="596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7948" w:rsidRDefault="00237948" w:rsidP="00CD289B">
      <w:pPr>
        <w:rPr>
          <w:rFonts w:ascii="Times New Roman" w:hAnsi="Times New Roman" w:cs="Times New Roman"/>
          <w:sz w:val="24"/>
        </w:rPr>
      </w:pPr>
    </w:p>
    <w:p w:rsidR="00237948" w:rsidRDefault="00237948" w:rsidP="00CD289B">
      <w:pPr>
        <w:rPr>
          <w:rFonts w:ascii="Times New Roman" w:hAnsi="Times New Roman" w:cs="Times New Roman"/>
          <w:sz w:val="24"/>
        </w:rPr>
      </w:pPr>
    </w:p>
    <w:p w:rsidR="00237948" w:rsidRDefault="00237948" w:rsidP="00CD289B">
      <w:pPr>
        <w:rPr>
          <w:rFonts w:ascii="Times New Roman" w:hAnsi="Times New Roman" w:cs="Times New Roman"/>
          <w:sz w:val="24"/>
        </w:rPr>
      </w:pPr>
    </w:p>
    <w:p w:rsidR="00237948" w:rsidRDefault="00237948" w:rsidP="00CD289B">
      <w:pPr>
        <w:rPr>
          <w:rFonts w:ascii="Times New Roman" w:hAnsi="Times New Roman" w:cs="Times New Roman"/>
          <w:sz w:val="24"/>
        </w:rPr>
      </w:pPr>
    </w:p>
    <w:p w:rsidR="00237948" w:rsidRDefault="00237948" w:rsidP="00CD289B">
      <w:pPr>
        <w:rPr>
          <w:rFonts w:ascii="Times New Roman" w:hAnsi="Times New Roman" w:cs="Times New Roman"/>
          <w:sz w:val="24"/>
        </w:rPr>
      </w:pPr>
    </w:p>
    <w:p w:rsidR="00237948" w:rsidRDefault="00237948" w:rsidP="00CD289B">
      <w:pPr>
        <w:rPr>
          <w:rFonts w:ascii="Times New Roman" w:hAnsi="Times New Roman" w:cs="Times New Roman"/>
          <w:sz w:val="24"/>
        </w:rPr>
      </w:pPr>
    </w:p>
    <w:p w:rsidR="00237948" w:rsidRDefault="00237948" w:rsidP="00CD289B">
      <w:pPr>
        <w:rPr>
          <w:rFonts w:ascii="Times New Roman" w:hAnsi="Times New Roman" w:cs="Times New Roman"/>
          <w:sz w:val="24"/>
        </w:rPr>
      </w:pPr>
    </w:p>
    <w:p w:rsidR="00237948" w:rsidRDefault="00237948" w:rsidP="00CD289B">
      <w:pPr>
        <w:rPr>
          <w:rFonts w:ascii="Times New Roman" w:hAnsi="Times New Roman" w:cs="Times New Roman"/>
          <w:sz w:val="24"/>
        </w:rPr>
      </w:pPr>
    </w:p>
    <w:p w:rsidR="00237948" w:rsidRDefault="00237948" w:rsidP="00CD289B">
      <w:pPr>
        <w:rPr>
          <w:rFonts w:ascii="Times New Roman" w:hAnsi="Times New Roman" w:cs="Times New Roman"/>
          <w:sz w:val="24"/>
        </w:rPr>
      </w:pPr>
    </w:p>
    <w:p w:rsidR="00237948" w:rsidRDefault="00237948" w:rsidP="00CD289B">
      <w:pPr>
        <w:rPr>
          <w:rFonts w:ascii="Times New Roman" w:hAnsi="Times New Roman" w:cs="Times New Roman"/>
          <w:sz w:val="24"/>
        </w:rPr>
      </w:pPr>
    </w:p>
    <w:p w:rsidR="00237948" w:rsidRDefault="00237948" w:rsidP="00CD289B">
      <w:pPr>
        <w:rPr>
          <w:rFonts w:ascii="Times New Roman" w:hAnsi="Times New Roman" w:cs="Times New Roman"/>
          <w:sz w:val="24"/>
        </w:rPr>
      </w:pPr>
    </w:p>
    <w:p w:rsidR="00237948" w:rsidRDefault="00237948" w:rsidP="00CD289B">
      <w:pPr>
        <w:rPr>
          <w:rFonts w:ascii="Times New Roman" w:hAnsi="Times New Roman" w:cs="Times New Roman"/>
          <w:sz w:val="24"/>
        </w:rPr>
      </w:pPr>
    </w:p>
    <w:p w:rsidR="00237948" w:rsidRPr="005B4E1D" w:rsidRDefault="00237948" w:rsidP="00CD289B">
      <w:pPr>
        <w:rPr>
          <w:rFonts w:ascii="Times New Roman" w:hAnsi="Times New Roman" w:cs="Times New Roman"/>
          <w:sz w:val="24"/>
        </w:rPr>
      </w:pPr>
    </w:p>
    <w:p w:rsidR="00237948" w:rsidRPr="00D6497E" w:rsidRDefault="00CD289B" w:rsidP="00D6497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5B4E1D">
        <w:rPr>
          <w:rFonts w:ascii="Times New Roman" w:hAnsi="Times New Roman" w:cs="Times New Roman"/>
          <w:sz w:val="24"/>
        </w:rPr>
        <w:t>Не каждый, кто умеет читать, может провозглашать Слово Бож</w:t>
      </w:r>
      <w:r>
        <w:rPr>
          <w:rFonts w:ascii="Times New Roman" w:hAnsi="Times New Roman" w:cs="Times New Roman"/>
          <w:sz w:val="24"/>
        </w:rPr>
        <w:t>ь</w:t>
      </w:r>
      <w:r w:rsidRPr="005B4E1D">
        <w:rPr>
          <w:rFonts w:ascii="Times New Roman" w:hAnsi="Times New Roman" w:cs="Times New Roman"/>
          <w:sz w:val="24"/>
        </w:rPr>
        <w:t xml:space="preserve">е во время литургии. Эта почетная обязанность возлагается в Церкви на епископов, священников, диаконов, а также чтецов-мирян. </w:t>
      </w:r>
    </w:p>
    <w:p w:rsidR="00237948" w:rsidRPr="00CD289B" w:rsidRDefault="00237948" w:rsidP="00CD289B">
      <w:pPr>
        <w:pStyle w:val="a3"/>
        <w:jc w:val="both"/>
        <w:rPr>
          <w:rFonts w:ascii="Times New Roman" w:hAnsi="Times New Roman" w:cs="Times New Roman"/>
          <w:sz w:val="16"/>
        </w:rPr>
      </w:pPr>
    </w:p>
    <w:p w:rsidR="003C35F4" w:rsidRDefault="00CD289B" w:rsidP="003C35F4">
      <w:pPr>
        <w:pStyle w:val="a3"/>
        <w:numPr>
          <w:ilvl w:val="0"/>
          <w:numId w:val="2"/>
        </w:numPr>
        <w:ind w:left="295" w:hanging="1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Чтец – это ответственное церковное служение верующих </w:t>
      </w:r>
      <w:r w:rsidR="003C35F4">
        <w:rPr>
          <w:rFonts w:ascii="Times New Roman" w:hAnsi="Times New Roman" w:cs="Times New Roman"/>
          <w:sz w:val="24"/>
        </w:rPr>
        <w:t xml:space="preserve"> </w:t>
      </w:r>
    </w:p>
    <w:p w:rsidR="00237948" w:rsidRPr="00237948" w:rsidRDefault="00CD289B" w:rsidP="003C35F4">
      <w:pPr>
        <w:pStyle w:val="a3"/>
        <w:ind w:left="29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мирян, поэтому исполнять его во время литургии могут только католики. Обычно оно связано с </w:t>
      </w:r>
      <w:proofErr w:type="gramStart"/>
      <w:r>
        <w:rPr>
          <w:rFonts w:ascii="Times New Roman" w:hAnsi="Times New Roman" w:cs="Times New Roman"/>
          <w:sz w:val="24"/>
        </w:rPr>
        <w:t>особым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поставлением</w:t>
      </w:r>
      <w:proofErr w:type="spellEnd"/>
      <w:r>
        <w:rPr>
          <w:rFonts w:ascii="Times New Roman" w:hAnsi="Times New Roman" w:cs="Times New Roman"/>
          <w:sz w:val="24"/>
        </w:rPr>
        <w:t>, которое совершает епископ. Чтобы быть поставленн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ым </w:t>
      </w:r>
      <w:proofErr w:type="gramStart"/>
      <w:r>
        <w:rPr>
          <w:rFonts w:ascii="Times New Roman" w:hAnsi="Times New Roman" w:cs="Times New Roman"/>
          <w:sz w:val="24"/>
        </w:rPr>
        <w:t>во</w:t>
      </w:r>
      <w:proofErr w:type="gramEnd"/>
      <w:r>
        <w:rPr>
          <w:rFonts w:ascii="Times New Roman" w:hAnsi="Times New Roman" w:cs="Times New Roman"/>
          <w:sz w:val="24"/>
        </w:rPr>
        <w:t xml:space="preserve"> чтецы, нужно </w:t>
      </w:r>
      <w:r>
        <w:rPr>
          <w:rFonts w:ascii="Times New Roman" w:hAnsi="Times New Roman" w:cs="Times New Roman"/>
          <w:sz w:val="24"/>
        </w:rPr>
        <w:lastRenderedPageBreak/>
        <w:t xml:space="preserve">любить слово Божие и жить им, а также пройти соответствующую подготовку по благословению настоятеля прихода. </w:t>
      </w:r>
      <w:r w:rsidRPr="00C04A91">
        <w:rPr>
          <w:rFonts w:ascii="Times New Roman" w:hAnsi="Times New Roman" w:cs="Times New Roman"/>
          <w:sz w:val="24"/>
        </w:rPr>
        <w:t xml:space="preserve">Во время обряда </w:t>
      </w:r>
      <w:proofErr w:type="spellStart"/>
      <w:r w:rsidRPr="00C04A91">
        <w:rPr>
          <w:rFonts w:ascii="Times New Roman" w:hAnsi="Times New Roman" w:cs="Times New Roman"/>
          <w:sz w:val="24"/>
        </w:rPr>
        <w:t>поставления</w:t>
      </w:r>
      <w:proofErr w:type="spellEnd"/>
      <w:r w:rsidRPr="00C04A91">
        <w:rPr>
          <w:rFonts w:ascii="Times New Roman" w:hAnsi="Times New Roman" w:cs="Times New Roman"/>
          <w:sz w:val="24"/>
        </w:rPr>
        <w:t xml:space="preserve">, епископ вручает чтецу Священное Писание, произнося слова, отражающие суть </w:t>
      </w:r>
      <w:r>
        <w:rPr>
          <w:rFonts w:ascii="Times New Roman" w:hAnsi="Times New Roman" w:cs="Times New Roman"/>
          <w:sz w:val="24"/>
        </w:rPr>
        <w:t>этого</w:t>
      </w:r>
      <w:r w:rsidRPr="00C04A91">
        <w:rPr>
          <w:rFonts w:ascii="Times New Roman" w:hAnsi="Times New Roman" w:cs="Times New Roman"/>
          <w:sz w:val="24"/>
        </w:rPr>
        <w:t xml:space="preserve"> служения: «Прими книгу Священного Писания и верно передавай Слово Божие, да действует оно в сердцах людских с большей силою»</w:t>
      </w:r>
    </w:p>
    <w:p w:rsidR="00237948" w:rsidRPr="00CD289B" w:rsidRDefault="00237948" w:rsidP="00CD289B">
      <w:pPr>
        <w:jc w:val="both"/>
        <w:rPr>
          <w:rFonts w:ascii="Times New Roman" w:hAnsi="Times New Roman" w:cs="Times New Roman"/>
          <w:sz w:val="2"/>
        </w:rPr>
      </w:pPr>
    </w:p>
    <w:p w:rsidR="00CD289B" w:rsidRDefault="00CD289B" w:rsidP="00237948">
      <w:pPr>
        <w:pStyle w:val="a3"/>
        <w:numPr>
          <w:ilvl w:val="0"/>
          <w:numId w:val="2"/>
        </w:numPr>
        <w:ind w:left="284" w:hanging="426"/>
        <w:jc w:val="both"/>
        <w:rPr>
          <w:rFonts w:ascii="Times New Roman" w:hAnsi="Times New Roman" w:cs="Times New Roman"/>
          <w:sz w:val="24"/>
        </w:rPr>
      </w:pPr>
      <w:r w:rsidRPr="00C04A91">
        <w:rPr>
          <w:rFonts w:ascii="Times New Roman" w:hAnsi="Times New Roman" w:cs="Times New Roman"/>
          <w:sz w:val="24"/>
        </w:rPr>
        <w:t>Обязанности чтеца состоят в провозглашении Слова Бож</w:t>
      </w:r>
      <w:r>
        <w:rPr>
          <w:rFonts w:ascii="Times New Roman" w:hAnsi="Times New Roman" w:cs="Times New Roman"/>
          <w:sz w:val="24"/>
        </w:rPr>
        <w:t>ьего</w:t>
      </w:r>
      <w:r w:rsidRPr="00C04A91">
        <w:rPr>
          <w:rFonts w:ascii="Times New Roman" w:hAnsi="Times New Roman" w:cs="Times New Roman"/>
          <w:sz w:val="24"/>
        </w:rPr>
        <w:t xml:space="preserve"> (кроме Евангелия) во время богослужений:  он читает </w:t>
      </w:r>
      <w:r>
        <w:rPr>
          <w:rFonts w:ascii="Times New Roman" w:hAnsi="Times New Roman" w:cs="Times New Roman"/>
          <w:sz w:val="24"/>
        </w:rPr>
        <w:t>от</w:t>
      </w:r>
      <w:r w:rsidRPr="00C04A91">
        <w:rPr>
          <w:rFonts w:ascii="Times New Roman" w:hAnsi="Times New Roman" w:cs="Times New Roman"/>
          <w:sz w:val="24"/>
        </w:rPr>
        <w:t xml:space="preserve"> амвона чтения, предшествующие Евангелию; может произносить ответный псалом (в отсутствие псаломщика), а также прошения Молитвы верных.  Вне литургии служение поставленного чтеца обычно связано с содействием в воспитании детей и взрослых в вере и их подготовка к достойному принятию таинств, возвещение Благой Вести о спасении людям, тем, кто ее еще не знает.</w:t>
      </w:r>
    </w:p>
    <w:p w:rsidR="00CD289B" w:rsidRPr="00CD289B" w:rsidRDefault="00CD289B" w:rsidP="00CD289B">
      <w:pPr>
        <w:rPr>
          <w:rFonts w:ascii="Times New Roman" w:hAnsi="Times New Roman" w:cs="Times New Roman"/>
          <w:sz w:val="2"/>
        </w:rPr>
      </w:pPr>
    </w:p>
    <w:p w:rsidR="00CD289B" w:rsidRDefault="00CD289B" w:rsidP="00237948">
      <w:pPr>
        <w:pStyle w:val="a3"/>
        <w:numPr>
          <w:ilvl w:val="0"/>
          <w:numId w:val="2"/>
        </w:numPr>
        <w:ind w:left="284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случае необходимости (например, при отсутствии в приходе поставленных чтецов) это служение могут выполнять миряне из числа активных прихожан, с любовью и благоговением относящиеся к Слову Божьему, надлежащим образом подготовленные и получившие благословение от настоятеля. </w:t>
      </w:r>
    </w:p>
    <w:p w:rsidR="00CD289B" w:rsidRPr="00CD289B" w:rsidRDefault="00CD289B" w:rsidP="00CD289B">
      <w:pPr>
        <w:jc w:val="both"/>
        <w:rPr>
          <w:rFonts w:ascii="Times New Roman" w:hAnsi="Times New Roman" w:cs="Times New Roman"/>
          <w:sz w:val="2"/>
        </w:rPr>
      </w:pPr>
    </w:p>
    <w:p w:rsidR="00CD289B" w:rsidRDefault="00CD289B" w:rsidP="00237948">
      <w:pPr>
        <w:pStyle w:val="a3"/>
        <w:numPr>
          <w:ilvl w:val="0"/>
          <w:numId w:val="2"/>
        </w:numPr>
        <w:ind w:left="284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Чтецу следует осознавать, что он выступает в функции глашатая, через которого</w:t>
      </w:r>
      <w:proofErr w:type="gramStart"/>
      <w:r>
        <w:rPr>
          <w:rFonts w:ascii="Times New Roman" w:hAnsi="Times New Roman" w:cs="Times New Roman"/>
          <w:sz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</w:rPr>
        <w:t xml:space="preserve">ам Бог обращает к Своему Народу Слово – живое и действенное. Осознавая это, чтец должен не просто «прочитать текст», но стремиться возвестить Слово так, чтобы оно было хорошо услышано каждым из присутствующих. </w:t>
      </w:r>
    </w:p>
    <w:p w:rsidR="00CD289B" w:rsidRPr="00237948" w:rsidRDefault="00CD289B" w:rsidP="00CD289B">
      <w:pPr>
        <w:pStyle w:val="a3"/>
        <w:jc w:val="both"/>
        <w:rPr>
          <w:rFonts w:ascii="Times New Roman" w:hAnsi="Times New Roman" w:cs="Times New Roman"/>
          <w:sz w:val="8"/>
        </w:rPr>
      </w:pPr>
    </w:p>
    <w:p w:rsidR="00CD289B" w:rsidRPr="00CD289B" w:rsidRDefault="00CD289B" w:rsidP="00CD289B">
      <w:pPr>
        <w:pStyle w:val="a3"/>
        <w:ind w:left="284" w:hanging="426"/>
        <w:rPr>
          <w:rFonts w:ascii="Times New Roman" w:hAnsi="Times New Roman" w:cs="Times New Roman"/>
          <w:sz w:val="2"/>
        </w:rPr>
      </w:pPr>
    </w:p>
    <w:p w:rsidR="00237948" w:rsidRPr="00237948" w:rsidRDefault="00CD289B" w:rsidP="00237948">
      <w:pPr>
        <w:pStyle w:val="a3"/>
        <w:numPr>
          <w:ilvl w:val="0"/>
          <w:numId w:val="2"/>
        </w:numPr>
        <w:ind w:left="284" w:hanging="426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4"/>
        </w:rPr>
        <w:t xml:space="preserve">Слово Божье должно провозглашаться человеком с чистым, любящим сердцем и чистыми устами. Кто не любит Слова Божьего, не должен провозглашать его во время литургии. Чтец </w:t>
      </w:r>
      <w:r w:rsidRPr="00237948">
        <w:rPr>
          <w:rFonts w:ascii="Times New Roman" w:hAnsi="Times New Roman" w:cs="Times New Roman"/>
          <w:sz w:val="23"/>
          <w:szCs w:val="23"/>
        </w:rPr>
        <w:t xml:space="preserve">также заботится о том, чтобы участвовать в литургии полностью – то есть, приступать к Причастию, пребывая в состоянии освящающей благодати (регулярно исповедоваться и не иметь на совести тяжкого греха с момента последней исповеди). </w:t>
      </w:r>
    </w:p>
    <w:p w:rsidR="00CD289B" w:rsidRPr="00237948" w:rsidRDefault="00CD289B" w:rsidP="00CD289B">
      <w:pPr>
        <w:pStyle w:val="a3"/>
        <w:ind w:left="284"/>
        <w:jc w:val="both"/>
        <w:rPr>
          <w:rFonts w:ascii="Times New Roman" w:hAnsi="Times New Roman" w:cs="Times New Roman"/>
          <w:sz w:val="10"/>
          <w:szCs w:val="23"/>
        </w:rPr>
      </w:pPr>
    </w:p>
    <w:p w:rsidR="00CD289B" w:rsidRPr="00237948" w:rsidRDefault="00CD289B" w:rsidP="002379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237948">
        <w:rPr>
          <w:rFonts w:ascii="Times New Roman" w:hAnsi="Times New Roman" w:cs="Times New Roman"/>
          <w:sz w:val="23"/>
          <w:szCs w:val="23"/>
        </w:rPr>
        <w:lastRenderedPageBreak/>
        <w:t xml:space="preserve">Чтобы достойно провозгласить чтение, его необходимо заранее подготовить надлежащим образом. К амвону нельзя выходить без подготовки! Подготовку следует начинать с молитвенного воззвания к Святому Духу, чтобы Он помог чтецу правильно понять чтение и провозгласить его так, чтобы Слово было понято и принято слушателями. </w:t>
      </w:r>
    </w:p>
    <w:p w:rsidR="00CD289B" w:rsidRPr="00237948" w:rsidRDefault="00CD289B" w:rsidP="00CD289B">
      <w:pPr>
        <w:jc w:val="both"/>
        <w:rPr>
          <w:rFonts w:ascii="Times New Roman" w:hAnsi="Times New Roman" w:cs="Times New Roman"/>
          <w:sz w:val="2"/>
          <w:szCs w:val="23"/>
        </w:rPr>
      </w:pPr>
    </w:p>
    <w:p w:rsidR="00CD289B" w:rsidRDefault="00CD289B" w:rsidP="002379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237948">
        <w:rPr>
          <w:rFonts w:ascii="Times New Roman" w:hAnsi="Times New Roman" w:cs="Times New Roman"/>
          <w:sz w:val="23"/>
          <w:szCs w:val="23"/>
        </w:rPr>
        <w:t xml:space="preserve">Дух </w:t>
      </w:r>
      <w:proofErr w:type="gramStart"/>
      <w:r w:rsidRPr="00237948">
        <w:rPr>
          <w:rFonts w:ascii="Times New Roman" w:hAnsi="Times New Roman" w:cs="Times New Roman"/>
          <w:sz w:val="23"/>
          <w:szCs w:val="23"/>
        </w:rPr>
        <w:t>чтения</w:t>
      </w:r>
      <w:proofErr w:type="gramEnd"/>
      <w:r w:rsidRPr="00237948">
        <w:rPr>
          <w:rFonts w:ascii="Times New Roman" w:hAnsi="Times New Roman" w:cs="Times New Roman"/>
          <w:sz w:val="23"/>
          <w:szCs w:val="23"/>
        </w:rPr>
        <w:t xml:space="preserve"> возможно передать только при условии, что сам чтец понимает то, что он читает. Поэтому те</w:t>
      </w:r>
      <w:proofErr w:type="gramStart"/>
      <w:r w:rsidRPr="00237948">
        <w:rPr>
          <w:rFonts w:ascii="Times New Roman" w:hAnsi="Times New Roman" w:cs="Times New Roman"/>
          <w:sz w:val="23"/>
          <w:szCs w:val="23"/>
        </w:rPr>
        <w:t>кст сл</w:t>
      </w:r>
      <w:proofErr w:type="gramEnd"/>
      <w:r w:rsidRPr="00237948">
        <w:rPr>
          <w:rFonts w:ascii="Times New Roman" w:hAnsi="Times New Roman" w:cs="Times New Roman"/>
          <w:sz w:val="23"/>
          <w:szCs w:val="23"/>
        </w:rPr>
        <w:t xml:space="preserve">едует прочитать несколько раз, стараясь как можно лучше понять его значение, уловить главные мысли и слова. Следует также уточнить значение незнакомых слов, а также потренироваться в правильном произношении и ударении сложных слов. </w:t>
      </w:r>
    </w:p>
    <w:p w:rsidR="00237948" w:rsidRPr="00237948" w:rsidRDefault="00237948" w:rsidP="00237948">
      <w:pPr>
        <w:jc w:val="both"/>
        <w:rPr>
          <w:rFonts w:ascii="Times New Roman" w:hAnsi="Times New Roman" w:cs="Times New Roman"/>
          <w:sz w:val="2"/>
          <w:szCs w:val="23"/>
        </w:rPr>
      </w:pPr>
    </w:p>
    <w:p w:rsidR="00237948" w:rsidRPr="00237948" w:rsidRDefault="00CD289B" w:rsidP="002379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237948">
        <w:rPr>
          <w:rFonts w:ascii="Times New Roman" w:hAnsi="Times New Roman" w:cs="Times New Roman"/>
          <w:sz w:val="23"/>
          <w:szCs w:val="23"/>
        </w:rPr>
        <w:t xml:space="preserve">Для провозглашения Слова Божьего чтец должен быть одет соответствующим образом: скромно, но достойно и празднично. Одежда должна выражать осознание чтецом достоинства и ответственности его служения. Участники литургии не только слушают чтеца – они его видят. Экстравагантный или вызывающий стиль одежды в данном случае не уместен, поскольку может не только рассеивать внимание верующих, но и вводить их в соблазн. </w:t>
      </w:r>
    </w:p>
    <w:p w:rsidR="00237948" w:rsidRPr="00237948" w:rsidRDefault="00237948" w:rsidP="00237948">
      <w:pPr>
        <w:pStyle w:val="a3"/>
        <w:rPr>
          <w:rFonts w:ascii="Times New Roman" w:hAnsi="Times New Roman" w:cs="Times New Roman"/>
          <w:sz w:val="23"/>
          <w:szCs w:val="23"/>
        </w:rPr>
      </w:pPr>
    </w:p>
    <w:p w:rsidR="00237948" w:rsidRPr="00237948" w:rsidRDefault="00237948" w:rsidP="00237948">
      <w:pPr>
        <w:pStyle w:val="a3"/>
        <w:ind w:left="360"/>
        <w:jc w:val="both"/>
        <w:rPr>
          <w:rFonts w:ascii="Times New Roman" w:hAnsi="Times New Roman" w:cs="Times New Roman"/>
          <w:sz w:val="2"/>
          <w:szCs w:val="23"/>
        </w:rPr>
      </w:pPr>
    </w:p>
    <w:p w:rsidR="00CD289B" w:rsidRPr="00237948" w:rsidRDefault="00CD289B" w:rsidP="002379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237948">
        <w:rPr>
          <w:rFonts w:ascii="Times New Roman" w:hAnsi="Times New Roman" w:cs="Times New Roman"/>
          <w:sz w:val="23"/>
          <w:szCs w:val="23"/>
        </w:rPr>
        <w:t xml:space="preserve">Литургические чтения следует провозглашать от амвона, используя богослужебные книги, специально для этого предназначенные. Стоит избегать чтения из литургических тетрадок, а тем более использовать листки с ксерокопией текста. </w:t>
      </w:r>
    </w:p>
    <w:p w:rsidR="00237948" w:rsidRPr="00237948" w:rsidRDefault="00237948" w:rsidP="00237948">
      <w:pPr>
        <w:pStyle w:val="a3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131C00" w:rsidRPr="00237948" w:rsidRDefault="00CD289B" w:rsidP="002379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237948">
        <w:rPr>
          <w:rFonts w:ascii="Times New Roman" w:hAnsi="Times New Roman" w:cs="Times New Roman"/>
          <w:sz w:val="23"/>
          <w:szCs w:val="23"/>
        </w:rPr>
        <w:t>С начала литургии чтецу желательно находиться неподалеку от амвона – алтаря Божьего Слова. Идти к чтению через храм, обращая на себя внимание и заставляя всех ждать – неуместно. Подходить к амвону следует достойно, без поспешности. Прежде чем взойти на амвон, следует почтить поклоном алтарь или предстоятеля, е</w:t>
      </w:r>
      <w:r w:rsidR="00237948" w:rsidRPr="00237948">
        <w:rPr>
          <w:rFonts w:ascii="Times New Roman" w:hAnsi="Times New Roman" w:cs="Times New Roman"/>
          <w:sz w:val="23"/>
          <w:szCs w:val="23"/>
        </w:rPr>
        <w:t>сли литургию совершает епископ.</w:t>
      </w:r>
    </w:p>
    <w:sectPr w:rsidR="00131C00" w:rsidRPr="00237948" w:rsidSect="003C35F4">
      <w:pgSz w:w="15840" w:h="12240" w:orient="landscape" w:code="1"/>
      <w:pgMar w:top="510" w:right="567" w:bottom="567" w:left="567" w:header="709" w:footer="709" w:gutter="0"/>
      <w:pgBorders w:offsetFrom="page">
        <w:top w:val="pushPinNote1" w:sz="10" w:space="9" w:color="auto"/>
        <w:left w:val="pushPinNote1" w:sz="10" w:space="8" w:color="auto"/>
        <w:bottom w:val="pushPinNote1" w:sz="10" w:space="9" w:color="auto"/>
        <w:right w:val="pushPinNote1" w:sz="10" w:space="8" w:color="auto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68DC"/>
    <w:multiLevelType w:val="hybridMultilevel"/>
    <w:tmpl w:val="E286F3EC"/>
    <w:lvl w:ilvl="0" w:tplc="272635A2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BAB448A"/>
    <w:multiLevelType w:val="hybridMultilevel"/>
    <w:tmpl w:val="B13A8D06"/>
    <w:lvl w:ilvl="0" w:tplc="3C2840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5C4513D"/>
    <w:multiLevelType w:val="hybridMultilevel"/>
    <w:tmpl w:val="72DCBD5E"/>
    <w:lvl w:ilvl="0" w:tplc="6C16FBF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E12901"/>
    <w:multiLevelType w:val="hybridMultilevel"/>
    <w:tmpl w:val="9A90221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89B"/>
    <w:rsid w:val="00131C00"/>
    <w:rsid w:val="00237948"/>
    <w:rsid w:val="0024775B"/>
    <w:rsid w:val="003C35F4"/>
    <w:rsid w:val="00913DF4"/>
    <w:rsid w:val="00CD289B"/>
    <w:rsid w:val="00D6497E"/>
    <w:rsid w:val="00EB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89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8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89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2019-05-22T22:09:00Z</dcterms:created>
  <dcterms:modified xsi:type="dcterms:W3CDTF">2019-05-22T22:09:00Z</dcterms:modified>
</cp:coreProperties>
</file>